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ind w:left="130" w:right="170" w:firstLine="77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bookmarkStart w:id="0" w:name="_top"/>
      <w:bookmarkEnd w:id="0"/>
      <w:r>
        <w:rPr>
          <w:rFonts w:hint="default" w:ascii="Times New Roman" w:hAnsi="Times New Roman" w:eastAsia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Текстовая часть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>Документация по внесению изменений в проект планировки территории земельных участков с кадастровыми номерами 01:08:1109008:24, 01:08:1109008:34, 01:08:1109008:35, расположенных в западной части поселка Западного муниципального образования «Город Майкоп», утвержденный постановлением Главы муниципального образования «Город Майкоп» от 11.11.2011 №763, в части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 и проекта межевания территории в отношении земельного участка с кадастровым номером 01:08:1109008:381 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 xml:space="preserve"> 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(далее – документация, проект, проект межевания территории) выполнен в рамках реализации Градостроительного кодекса Российской Федерации.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Подготовка проекта межевания территории осуществляется для: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определения местоположения границ изменяемых и образуемых земельных участков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установления </w:t>
      </w:r>
      <w:r>
        <w:rPr>
          <w:rFonts w:hint="default" w:eastAsia="Arial Unicode MS" w:cs="Times New Roman"/>
          <w:sz w:val="28"/>
          <w:szCs w:val="28"/>
          <w:lang w:val="ru-RU" w:eastAsia="ar"/>
        </w:rPr>
        <w:t xml:space="preserve">красных линий и 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линий отступа от красных линий.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В данном проекте межевания территории отсутствуют проектируемые объекты федерального, регионального и местного значения.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>
        <w:rPr>
          <w:rFonts w:hint="default" w:cs="Times New Roman"/>
          <w:sz w:val="28"/>
          <w:szCs w:val="28"/>
          <w:lang w:val="ru-RU"/>
        </w:rPr>
        <w:t>5,47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га.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Межевание выполняется для частично застроенной территории.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ar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В основу данного проекта заложены материалы ранее разработанного проекта планировки территории,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>земельных участков с кадастровыми номерами 01:08:1109008:24, 01:08:1109008:34, 01:08:1109008:35, расположенных в западной части поселка Западного муниципального образования «Город Майкоп», утвержденный постановлением Главы муниципального образования «Город Майкоп» от 11.11.2011 №763, в части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Проектируемая территория не имеет общих границ с территориями, на которые ранее были разработаны и утверждены проекты межевания территории.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Границ зон действия публичных сервитутов на проектируемой территории нет. 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Согласно Генеральному плану на данной территории объектов культурного наследия и особо охраняемых природных территорий нет.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Проектируемая территория расположена в поселке Западном города Майкопа.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В данном проекте межевания указаны красные линии кварталов в пределах территории проектирования, утверждаемые в составе проекта планировки территории.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Земельный участок ЗУ-1 площадью 5</w:t>
      </w:r>
      <w:r>
        <w:rPr>
          <w:rFonts w:hint="default" w:cs="Times New Roman"/>
          <w:sz w:val="28"/>
          <w:szCs w:val="28"/>
          <w:lang w:val="ru-RU"/>
        </w:rPr>
        <w:t>70,25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</w:t>
      </w:r>
      <w:r>
        <w:rPr>
          <w:rFonts w:hint="default" w:cs="Times New Roman"/>
          <w:sz w:val="28"/>
          <w:szCs w:val="28"/>
          <w:lang w:val="ru-RU"/>
        </w:rPr>
        <w:t>1109008:381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площадью 5</w:t>
      </w:r>
      <w:r>
        <w:rPr>
          <w:rFonts w:hint="default" w:cs="Times New Roman"/>
          <w:sz w:val="28"/>
          <w:szCs w:val="28"/>
          <w:lang w:val="ru-RU"/>
        </w:rPr>
        <w:t>69,97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</w:t>
      </w:r>
      <w:r>
        <w:rPr>
          <w:rFonts w:hint="default" w:cs="Times New Roman"/>
          <w:sz w:val="28"/>
          <w:szCs w:val="28"/>
          <w:lang w:val="ru-RU"/>
        </w:rPr>
        <w:t>1109008:381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115522,66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кв. м образуется путем </w:t>
      </w:r>
      <w:r>
        <w:rPr>
          <w:rFonts w:hint="default" w:cs="Times New Roman"/>
          <w:sz w:val="28"/>
          <w:szCs w:val="28"/>
          <w:lang w:val="ru-RU"/>
        </w:rPr>
        <w:t>объединения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земельного участка с кадастровым номером 01:08:</w:t>
      </w:r>
      <w:r>
        <w:rPr>
          <w:rFonts w:hint="default" w:cs="Times New Roman"/>
          <w:sz w:val="28"/>
          <w:szCs w:val="28"/>
          <w:lang w:val="ru-RU"/>
        </w:rPr>
        <w:t xml:space="preserve">1109008:381, 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>и земельного участка с кадастровым номером</w:t>
      </w:r>
      <w:r>
        <w:rPr>
          <w:rFonts w:hint="default" w:cs="Times New Roman"/>
          <w:sz w:val="28"/>
          <w:szCs w:val="28"/>
          <w:lang w:val="ru-RU"/>
        </w:rPr>
        <w:t xml:space="preserve"> 01:08:1109008:1128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в соответствии </w:t>
      </w:r>
      <w:r>
        <w:rPr>
          <w:rFonts w:hint="default" w:cs="Times New Roman"/>
          <w:sz w:val="28"/>
          <w:szCs w:val="28"/>
          <w:lang w:val="ru-RU"/>
        </w:rPr>
        <w:t xml:space="preserve">со 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ст. 11.6 Земельного кодекса Российской Федерации. Вид разрешенного использования земельного участка в соответствии с ПЗЗ – </w:t>
      </w:r>
      <w:bookmarkStart w:id="1" w:name="sub_60311"/>
      <w:r>
        <w:rPr>
          <w:rFonts w:hint="default" w:ascii="Times New Roman" w:hAnsi="Times New Roman" w:cs="Times New Roman"/>
          <w:sz w:val="28"/>
          <w:szCs w:val="28"/>
          <w:lang w:val="ru"/>
        </w:rPr>
        <w:t>[12.0] - Земельные участки (территории) общего пользования</w:t>
      </w:r>
      <w:bookmarkEnd w:id="1"/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. </w:t>
      </w:r>
      <w:bookmarkStart w:id="2" w:name="_GoBack"/>
      <w:bookmarkEnd w:id="2"/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В соответствии с Генеральным планом образуемые земельные участки ЗУ-1 - ЗУ-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относятся к категории земель «земли населенных пунктов» и расположены в границе населенного пункта поселок Западный. </w:t>
      </w:r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На чертеже межевания отображены: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Границы планируемых и существующих элементов планировочной структуры.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Красные линии, утверждаемые проектом планировки и межевания.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Границы существующих и изменяемых земельных участков, условные номера образуемых земельных участков.</w:t>
      </w:r>
    </w:p>
    <w:p>
      <w:pPr>
        <w:keepNext w:val="0"/>
        <w:keepLines w:val="0"/>
        <w:widowControl/>
        <w:suppressLineNumbers w:val="0"/>
        <w:suppressAutoHyphens/>
        <w:spacing w:before="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Границ зон действия публичных сервитутов на проектируемой территории нет. </w:t>
      </w:r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Таблица. Экспликация изменяемых и образуемых земельных участков</w:t>
      </w:r>
    </w:p>
    <w:p>
      <w:pPr>
        <w:pStyle w:val="12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611"/>
        <w:gridCol w:w="1671"/>
        <w:gridCol w:w="1519"/>
        <w:gridCol w:w="3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п/п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Номер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земельного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участка на чертеже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Территориальная зона 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Площадь, м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ЗУ – 1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570,25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2 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"/>
              </w:rPr>
              <w:t>5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69,97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ЗУ – 3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115522,66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" w:eastAsia="zh-CN"/>
              </w:rPr>
              <w:t>[12.0] - Земельные участки (территории) общего пользования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</w:p>
        </w:tc>
      </w:tr>
    </w:tbl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Проектируемая территория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- 1Б/1.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Зона индивидуальной жилой застройки Ж-1Б/1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[2.1] - Для индивидуального жилищного строительства:</w:t>
      </w:r>
    </w:p>
    <w:p>
      <w:pPr>
        <w:pStyle w:val="12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минимальная/максимальная площадь земельных участков - 300 кв. м (при наличии центральной канализации) и 400 кв. м (при отсутствии центральной канализации) /2000 кв.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 ширина земельных участков вдоль фронта улицы (проезда) - 12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минимальные отступы от границ земельных участков - 3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максимальное количество надземных этажей зданий - 3 этажа (включая мансардный этаж);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максимальный процент застройки в границах земельного участка: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до 1000 кв. м - 60%;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свыше 1000 кв. м - 40%.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  <w:t>Каталог координат образуемых участков приведен в Приложении 1.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709" w:right="850" w:bottom="1134" w:left="1701" w:header="708" w:footer="17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80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tabs>
              <w:tab w:val="left" w:pos="1384"/>
            </w:tabs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39" w:right="0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221FA"/>
    <w:multiLevelType w:val="multilevel"/>
    <w:tmpl w:val="D9F221FA"/>
    <w:lvl w:ilvl="0" w:tentative="0">
      <w:start w:val="1"/>
      <w:numFmt w:val="decimal"/>
      <w:lvlText w:val="%1.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2E62E2"/>
    <w:multiLevelType w:val="multilevel"/>
    <w:tmpl w:val="012E62E2"/>
    <w:lvl w:ilvl="0" w:tentative="0">
      <w:start w:val="0"/>
      <w:numFmt w:val="bullet"/>
      <w:lvlText w:val="·"/>
      <w:lvlJc w:val="left"/>
      <w:pPr>
        <w:ind w:left="2062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nsid w:val="3183E956"/>
    <w:multiLevelType w:val="multilevel"/>
    <w:tmpl w:val="3183E956"/>
    <w:lvl w:ilvl="0" w:tentative="0">
      <w:start w:val="1"/>
      <w:numFmt w:val="decimal"/>
      <w:lvlText w:val="%1)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465"/>
    <w:rsid w:val="00000782"/>
    <w:rsid w:val="0001111A"/>
    <w:rsid w:val="00014543"/>
    <w:rsid w:val="00014544"/>
    <w:rsid w:val="00023961"/>
    <w:rsid w:val="00033715"/>
    <w:rsid w:val="00041193"/>
    <w:rsid w:val="00041D88"/>
    <w:rsid w:val="000451B4"/>
    <w:rsid w:val="000478B4"/>
    <w:rsid w:val="00050A77"/>
    <w:rsid w:val="00074B4A"/>
    <w:rsid w:val="00090BDA"/>
    <w:rsid w:val="000973CA"/>
    <w:rsid w:val="000C1D9C"/>
    <w:rsid w:val="000D0BDC"/>
    <w:rsid w:val="000E0C2E"/>
    <w:rsid w:val="000F1D06"/>
    <w:rsid w:val="00110906"/>
    <w:rsid w:val="00132BB5"/>
    <w:rsid w:val="00137163"/>
    <w:rsid w:val="00153E0B"/>
    <w:rsid w:val="001543E4"/>
    <w:rsid w:val="00160FDE"/>
    <w:rsid w:val="001610DC"/>
    <w:rsid w:val="00187CDE"/>
    <w:rsid w:val="001C7E7E"/>
    <w:rsid w:val="001D435F"/>
    <w:rsid w:val="001E1446"/>
    <w:rsid w:val="001E25D9"/>
    <w:rsid w:val="002015BB"/>
    <w:rsid w:val="00251415"/>
    <w:rsid w:val="0025185D"/>
    <w:rsid w:val="0025637F"/>
    <w:rsid w:val="002616F1"/>
    <w:rsid w:val="0026197A"/>
    <w:rsid w:val="00261C86"/>
    <w:rsid w:val="002639F4"/>
    <w:rsid w:val="002673EA"/>
    <w:rsid w:val="002762BD"/>
    <w:rsid w:val="00280B64"/>
    <w:rsid w:val="002C1589"/>
    <w:rsid w:val="002C35CA"/>
    <w:rsid w:val="002F6CF0"/>
    <w:rsid w:val="002F7F7A"/>
    <w:rsid w:val="00321E81"/>
    <w:rsid w:val="00333F3C"/>
    <w:rsid w:val="003561D1"/>
    <w:rsid w:val="00360201"/>
    <w:rsid w:val="003607A7"/>
    <w:rsid w:val="00360A37"/>
    <w:rsid w:val="00361412"/>
    <w:rsid w:val="0037148A"/>
    <w:rsid w:val="00396B8D"/>
    <w:rsid w:val="003A57DA"/>
    <w:rsid w:val="003A5E14"/>
    <w:rsid w:val="003D0549"/>
    <w:rsid w:val="003D578A"/>
    <w:rsid w:val="003E131F"/>
    <w:rsid w:val="003E2BA0"/>
    <w:rsid w:val="003F1A25"/>
    <w:rsid w:val="00427B4A"/>
    <w:rsid w:val="00443DAE"/>
    <w:rsid w:val="00445230"/>
    <w:rsid w:val="00446294"/>
    <w:rsid w:val="004539C9"/>
    <w:rsid w:val="00454658"/>
    <w:rsid w:val="004611EB"/>
    <w:rsid w:val="00464B44"/>
    <w:rsid w:val="004656EA"/>
    <w:rsid w:val="00465F7F"/>
    <w:rsid w:val="004661E7"/>
    <w:rsid w:val="004679A3"/>
    <w:rsid w:val="00493CD8"/>
    <w:rsid w:val="004A0FDB"/>
    <w:rsid w:val="004D7C31"/>
    <w:rsid w:val="004E144E"/>
    <w:rsid w:val="004E74A3"/>
    <w:rsid w:val="00507BAB"/>
    <w:rsid w:val="00527524"/>
    <w:rsid w:val="00536C16"/>
    <w:rsid w:val="00546681"/>
    <w:rsid w:val="00554A4F"/>
    <w:rsid w:val="00557655"/>
    <w:rsid w:val="00570778"/>
    <w:rsid w:val="00585E9B"/>
    <w:rsid w:val="005B0553"/>
    <w:rsid w:val="005B2BB1"/>
    <w:rsid w:val="005C00E3"/>
    <w:rsid w:val="005D076F"/>
    <w:rsid w:val="005D1B54"/>
    <w:rsid w:val="005D4511"/>
    <w:rsid w:val="005D6547"/>
    <w:rsid w:val="005E15BE"/>
    <w:rsid w:val="005E28E4"/>
    <w:rsid w:val="006128F2"/>
    <w:rsid w:val="00633061"/>
    <w:rsid w:val="00633086"/>
    <w:rsid w:val="00645C40"/>
    <w:rsid w:val="00650326"/>
    <w:rsid w:val="00651B91"/>
    <w:rsid w:val="00690453"/>
    <w:rsid w:val="00691F2B"/>
    <w:rsid w:val="006A5E2A"/>
    <w:rsid w:val="006B02A2"/>
    <w:rsid w:val="006C2F21"/>
    <w:rsid w:val="006D48AE"/>
    <w:rsid w:val="006E56EF"/>
    <w:rsid w:val="006F1737"/>
    <w:rsid w:val="007007BD"/>
    <w:rsid w:val="00702E34"/>
    <w:rsid w:val="00725A35"/>
    <w:rsid w:val="00726CCC"/>
    <w:rsid w:val="0073169E"/>
    <w:rsid w:val="00733DF1"/>
    <w:rsid w:val="00743EC6"/>
    <w:rsid w:val="0075108A"/>
    <w:rsid w:val="00761C19"/>
    <w:rsid w:val="00766FF3"/>
    <w:rsid w:val="007723B3"/>
    <w:rsid w:val="007939E1"/>
    <w:rsid w:val="007B789D"/>
    <w:rsid w:val="007C7FFC"/>
    <w:rsid w:val="007D12C0"/>
    <w:rsid w:val="007F519D"/>
    <w:rsid w:val="00800433"/>
    <w:rsid w:val="00803610"/>
    <w:rsid w:val="00804B2D"/>
    <w:rsid w:val="00812C55"/>
    <w:rsid w:val="00820A6B"/>
    <w:rsid w:val="00824A95"/>
    <w:rsid w:val="0084298F"/>
    <w:rsid w:val="00847E32"/>
    <w:rsid w:val="0086434A"/>
    <w:rsid w:val="00866A7A"/>
    <w:rsid w:val="008866A0"/>
    <w:rsid w:val="0088723F"/>
    <w:rsid w:val="008939D6"/>
    <w:rsid w:val="008949E0"/>
    <w:rsid w:val="008A2976"/>
    <w:rsid w:val="008A6EEB"/>
    <w:rsid w:val="008A7B4D"/>
    <w:rsid w:val="008B4BDD"/>
    <w:rsid w:val="008C2472"/>
    <w:rsid w:val="008C692C"/>
    <w:rsid w:val="008D1E82"/>
    <w:rsid w:val="008F19E1"/>
    <w:rsid w:val="008F2A4D"/>
    <w:rsid w:val="009040E3"/>
    <w:rsid w:val="009165AA"/>
    <w:rsid w:val="00931D7C"/>
    <w:rsid w:val="00936BA3"/>
    <w:rsid w:val="00947EC9"/>
    <w:rsid w:val="00950836"/>
    <w:rsid w:val="009572B1"/>
    <w:rsid w:val="00962A2E"/>
    <w:rsid w:val="009633D2"/>
    <w:rsid w:val="00974A9B"/>
    <w:rsid w:val="009842D0"/>
    <w:rsid w:val="0098683F"/>
    <w:rsid w:val="009A01CE"/>
    <w:rsid w:val="009A31BA"/>
    <w:rsid w:val="009A3866"/>
    <w:rsid w:val="009A5BE1"/>
    <w:rsid w:val="009B4F0A"/>
    <w:rsid w:val="009D278E"/>
    <w:rsid w:val="009D63F5"/>
    <w:rsid w:val="009E6F01"/>
    <w:rsid w:val="00A0051F"/>
    <w:rsid w:val="00A016E5"/>
    <w:rsid w:val="00A25D7F"/>
    <w:rsid w:val="00A34F10"/>
    <w:rsid w:val="00A44FF6"/>
    <w:rsid w:val="00A706F4"/>
    <w:rsid w:val="00A87954"/>
    <w:rsid w:val="00A96132"/>
    <w:rsid w:val="00AA5EB8"/>
    <w:rsid w:val="00AB07B3"/>
    <w:rsid w:val="00AB2F33"/>
    <w:rsid w:val="00AD68F4"/>
    <w:rsid w:val="00AD7ACE"/>
    <w:rsid w:val="00AE1A07"/>
    <w:rsid w:val="00AE555A"/>
    <w:rsid w:val="00B12DFC"/>
    <w:rsid w:val="00B17EC4"/>
    <w:rsid w:val="00B226E9"/>
    <w:rsid w:val="00B236E0"/>
    <w:rsid w:val="00B27090"/>
    <w:rsid w:val="00B53F27"/>
    <w:rsid w:val="00B555CA"/>
    <w:rsid w:val="00B57A6C"/>
    <w:rsid w:val="00B835A3"/>
    <w:rsid w:val="00B8364A"/>
    <w:rsid w:val="00B90565"/>
    <w:rsid w:val="00BA7ADF"/>
    <w:rsid w:val="00BB5A8E"/>
    <w:rsid w:val="00BC6A05"/>
    <w:rsid w:val="00BE3AF5"/>
    <w:rsid w:val="00BF05C7"/>
    <w:rsid w:val="00BF396C"/>
    <w:rsid w:val="00C10570"/>
    <w:rsid w:val="00C27BF7"/>
    <w:rsid w:val="00C3123E"/>
    <w:rsid w:val="00C31477"/>
    <w:rsid w:val="00C36C51"/>
    <w:rsid w:val="00C44997"/>
    <w:rsid w:val="00C71D23"/>
    <w:rsid w:val="00C76E58"/>
    <w:rsid w:val="00C8339E"/>
    <w:rsid w:val="00C8456E"/>
    <w:rsid w:val="00C919A8"/>
    <w:rsid w:val="00C92EFB"/>
    <w:rsid w:val="00CD6827"/>
    <w:rsid w:val="00CE0F58"/>
    <w:rsid w:val="00CE31B8"/>
    <w:rsid w:val="00D03FC1"/>
    <w:rsid w:val="00D664E1"/>
    <w:rsid w:val="00D864B8"/>
    <w:rsid w:val="00D93D63"/>
    <w:rsid w:val="00DB15F4"/>
    <w:rsid w:val="00DB72A6"/>
    <w:rsid w:val="00DD0A15"/>
    <w:rsid w:val="00DE2D4D"/>
    <w:rsid w:val="00DF5316"/>
    <w:rsid w:val="00E00A99"/>
    <w:rsid w:val="00E00E31"/>
    <w:rsid w:val="00E1528A"/>
    <w:rsid w:val="00E23D99"/>
    <w:rsid w:val="00E27A76"/>
    <w:rsid w:val="00E61D73"/>
    <w:rsid w:val="00E80C19"/>
    <w:rsid w:val="00E82EC9"/>
    <w:rsid w:val="00E86545"/>
    <w:rsid w:val="00E912EC"/>
    <w:rsid w:val="00EA4FEB"/>
    <w:rsid w:val="00EC4E6E"/>
    <w:rsid w:val="00EE1718"/>
    <w:rsid w:val="00EE6AD4"/>
    <w:rsid w:val="00F02255"/>
    <w:rsid w:val="00F0417F"/>
    <w:rsid w:val="00F236FF"/>
    <w:rsid w:val="00F2429B"/>
    <w:rsid w:val="00F313D2"/>
    <w:rsid w:val="00F3542B"/>
    <w:rsid w:val="00F35988"/>
    <w:rsid w:val="00F45C21"/>
    <w:rsid w:val="00F46284"/>
    <w:rsid w:val="00F92CE1"/>
    <w:rsid w:val="00FA6C2A"/>
    <w:rsid w:val="00FB16F4"/>
    <w:rsid w:val="00FB4102"/>
    <w:rsid w:val="00FD4FE1"/>
    <w:rsid w:val="00FD5B98"/>
    <w:rsid w:val="00FE262A"/>
    <w:rsid w:val="013C756A"/>
    <w:rsid w:val="08DD2392"/>
    <w:rsid w:val="09350860"/>
    <w:rsid w:val="0BAC5B25"/>
    <w:rsid w:val="0C9F0E42"/>
    <w:rsid w:val="0D9652B6"/>
    <w:rsid w:val="0FEE4659"/>
    <w:rsid w:val="13D661C4"/>
    <w:rsid w:val="14930823"/>
    <w:rsid w:val="15025ACE"/>
    <w:rsid w:val="1F8834E5"/>
    <w:rsid w:val="25217CEE"/>
    <w:rsid w:val="28C01384"/>
    <w:rsid w:val="2B515608"/>
    <w:rsid w:val="2F920F90"/>
    <w:rsid w:val="3A863C36"/>
    <w:rsid w:val="3D7F45E1"/>
    <w:rsid w:val="4C152D23"/>
    <w:rsid w:val="4F6F40ED"/>
    <w:rsid w:val="50C77970"/>
    <w:rsid w:val="51ED4A08"/>
    <w:rsid w:val="576C2C81"/>
    <w:rsid w:val="588345BA"/>
    <w:rsid w:val="5BDF4120"/>
    <w:rsid w:val="5E9032AE"/>
    <w:rsid w:val="61A05A4E"/>
    <w:rsid w:val="61BF0802"/>
    <w:rsid w:val="65404D10"/>
    <w:rsid w:val="6A1F6B14"/>
    <w:rsid w:val="70721355"/>
    <w:rsid w:val="72E14D4E"/>
    <w:rsid w:val="7C57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"/>
    <w:basedOn w:val="3"/>
    <w:link w:val="8"/>
    <w:qFormat/>
    <w:uiPriority w:val="99"/>
  </w:style>
  <w:style w:type="character" w:customStyle="1" w:styleId="15">
    <w:name w:val="Нижний колонтитул Знак"/>
    <w:basedOn w:val="3"/>
    <w:link w:val="9"/>
    <w:qFormat/>
    <w:uiPriority w:val="99"/>
  </w:style>
  <w:style w:type="character" w:customStyle="1" w:styleId="16">
    <w:name w:val="Основной шрифт абзаца2"/>
    <w:qFormat/>
    <w:uiPriority w:val="0"/>
  </w:style>
  <w:style w:type="paragraph" w:customStyle="1" w:styleId="17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paragraph" w:customStyle="1" w:styleId="18">
    <w:name w:val="msolistparagraph"/>
    <w:qFormat/>
    <w:uiPriority w:val="0"/>
    <w:pPr>
      <w:keepNext w:val="0"/>
      <w:keepLines w:val="0"/>
      <w:widowControl/>
      <w:suppressLineNumbers w:val="0"/>
      <w:suppressAutoHyphens w:val="0"/>
      <w:spacing w:before="0" w:beforeAutospacing="0" w:after="200" w:afterAutospacing="0" w:line="276" w:lineRule="auto"/>
      <w:ind w:left="720" w:right="0"/>
      <w:jc w:val="left"/>
    </w:pPr>
    <w:rPr>
      <w:rFonts w:ascii="Calibri" w:hAnsi="Calibri" w:eastAsia="Calibri" w:cs="Times New Roman"/>
      <w:kern w:val="0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4E3C2-E924-4D8F-95A0-7CD25FABAF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4456</Words>
  <Characters>31087</Characters>
  <Lines>311</Lines>
  <Paragraphs>87</Paragraphs>
  <TotalTime>2</TotalTime>
  <ScaleCrop>false</ScaleCrop>
  <LinksUpToDate>false</LinksUpToDate>
  <CharactersWithSpaces>35339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2019-02-18T08:19:00Z</dcterms:created>
  <dc:creator>Админ</dc:creator>
  <cp:lastModifiedBy>User</cp:lastModifiedBy>
  <cp:lastPrinted>2020-11-10T07:14:00Z</cp:lastPrinted>
  <dcterms:modified xsi:type="dcterms:W3CDTF">2022-05-26T13:51:17Z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EB77761DB39249B59DA6607432348D96</vt:lpwstr>
  </property>
</Properties>
</file>